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8945D3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>
              <w:rPr>
                <w:b/>
                <w:bCs/>
              </w:rPr>
              <w:t>СОЦИОЛОГИЈА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8945D3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8945D3" w:rsidRPr="00270588" w:rsidRDefault="008945D3" w:rsidP="008945D3">
            <w:pPr>
              <w:jc w:val="center"/>
              <w:rPr>
                <w:rFonts w:cstheme="minorHAnsi"/>
                <w:lang w:val="sr-Cyrl-BA"/>
              </w:rPr>
            </w:pP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5D3" w:rsidRPr="004046FC" w:rsidRDefault="008945D3" w:rsidP="008945D3">
            <w:pPr>
              <w:jc w:val="center"/>
            </w:pPr>
            <w:r w:rsidRPr="004046FC">
              <w:rPr>
                <w:lang w:val="sr-Cyrl-CS" w:eastAsia="bs-Latn-BA"/>
              </w:rPr>
              <w:t>изборни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45D3" w:rsidRPr="004046FC" w:rsidRDefault="008945D3" w:rsidP="008945D3">
            <w:pPr>
              <w:snapToGrid w:val="0"/>
              <w:jc w:val="center"/>
              <w:rPr>
                <w:lang w:val="sr-Latn-BA"/>
              </w:rPr>
            </w:pPr>
            <w:r>
              <w:t>II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5D3" w:rsidRPr="004046FC" w:rsidRDefault="008945D3" w:rsidP="008945D3">
            <w:pPr>
              <w:snapToGrid w:val="0"/>
              <w:jc w:val="center"/>
              <w:rPr>
                <w:lang w:val="sr-Latn-BA" w:eastAsia="bs-Latn-BA"/>
              </w:rPr>
            </w:pPr>
            <w:r w:rsidRPr="004046FC">
              <w:rPr>
                <w:lang w:val="sr-Latn-BA"/>
              </w:rPr>
              <w:t>2П+2В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8945D3" w:rsidRPr="004046FC" w:rsidRDefault="008945D3" w:rsidP="008945D3">
            <w:pPr>
              <w:snapToGrid w:val="0"/>
              <w:jc w:val="center"/>
              <w:rPr>
                <w:lang w:val="ru-RU"/>
              </w:rPr>
            </w:pPr>
            <w:r w:rsidRPr="004046FC">
              <w:rPr>
                <w:lang w:val="sr-Latn-BA" w:eastAsia="bs-Latn-BA"/>
              </w:rPr>
              <w:t>4</w:t>
            </w:r>
          </w:p>
        </w:tc>
      </w:tr>
      <w:tr w:rsidR="008945D3" w:rsidRPr="00270588" w:rsidTr="00270588">
        <w:tc>
          <w:tcPr>
            <w:tcW w:w="2082" w:type="dxa"/>
            <w:gridSpan w:val="2"/>
            <w:shd w:val="clear" w:color="auto" w:fill="269A3C"/>
          </w:tcPr>
          <w:p w:rsidR="008945D3" w:rsidRPr="00270588" w:rsidRDefault="008945D3" w:rsidP="008945D3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8945D3" w:rsidRPr="00270588" w:rsidRDefault="008945D3" w:rsidP="008945D3">
            <w:pPr>
              <w:jc w:val="center"/>
              <w:rPr>
                <w:rFonts w:cstheme="minorHAnsi"/>
                <w:lang w:val="sr-Cyrl-BA"/>
              </w:rPr>
            </w:pPr>
            <w:r w:rsidRPr="009A71C7">
              <w:rPr>
                <w:lang w:val="ru-RU"/>
              </w:rPr>
              <w:t>Др Душко Вејновић, ред. проф.</w:t>
            </w:r>
          </w:p>
        </w:tc>
      </w:tr>
      <w:tr w:rsidR="008945D3" w:rsidRPr="00270588" w:rsidTr="004408D5">
        <w:tc>
          <w:tcPr>
            <w:tcW w:w="9402" w:type="dxa"/>
            <w:gridSpan w:val="10"/>
          </w:tcPr>
          <w:p w:rsidR="008945D3" w:rsidRPr="00270588" w:rsidRDefault="008945D3" w:rsidP="008945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8945D3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8945D3" w:rsidRPr="00270588" w:rsidRDefault="008945D3" w:rsidP="008945D3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8945D3" w:rsidRPr="00270588" w:rsidRDefault="008945D3" w:rsidP="008945D3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8945D3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5D3" w:rsidRPr="00270588" w:rsidRDefault="008945D3" w:rsidP="008945D3">
            <w:pPr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8945D3" w:rsidRPr="00986C49" w:rsidRDefault="008945D3" w:rsidP="008945D3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</w:p>
        </w:tc>
      </w:tr>
      <w:tr w:rsidR="008945D3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8945D3" w:rsidRPr="00270588" w:rsidRDefault="008945D3" w:rsidP="008945D3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8945D3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5D3" w:rsidRPr="008945D3" w:rsidRDefault="008945D3" w:rsidP="008945D3">
            <w:pPr>
              <w:snapToGrid w:val="0"/>
              <w:jc w:val="both"/>
              <w:rPr>
                <w:sz w:val="20"/>
                <w:szCs w:val="20"/>
                <w:lang w:val="sr-Cyrl-BA"/>
              </w:rPr>
            </w:pPr>
            <w:r w:rsidRPr="008945D3">
              <w:rPr>
                <w:sz w:val="20"/>
                <w:szCs w:val="20"/>
                <w:lang w:val="ru-RU"/>
              </w:rPr>
              <w:t xml:space="preserve">Изучавањем наставног предмета Социологија стичу се уводна, основна и општа знања о социологији, као друштвеној науци, и њеном предмету истраживања – </w:t>
            </w:r>
            <w:r w:rsidRPr="008945D3">
              <w:rPr>
                <w:sz w:val="20"/>
                <w:szCs w:val="20"/>
                <w:lang w:val="sr-Cyrl-BA"/>
              </w:rPr>
              <w:t xml:space="preserve">друштву односно конститутивним елементима, који га чине (друштвеним односима, друштвеним процесима, друштвеним појавама и друштвеним творевинама), у временским и просторним координатама на глобалном нивоу. </w:t>
            </w:r>
          </w:p>
          <w:p w:rsidR="008945D3" w:rsidRPr="00270588" w:rsidRDefault="008945D3" w:rsidP="008945D3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8945D3">
              <w:rPr>
                <w:sz w:val="20"/>
                <w:szCs w:val="20"/>
                <w:lang w:val="sr-Cyrl-BA"/>
              </w:rPr>
              <w:t>Поред научних циљева (дескрипције, класификације, разумијевања, експланације и антиципације) којима „спознајна социологија“ (Рејмон Будон) проширује фонд научних сазнања о друшту, унапређујући их истраживањима према властитом програму, „коморна социологија“ (Рејмон Будон), у својој дескриптивистичкој димензији, такође, истражује друштвене појаве, у складу с интересима вањских друштвених субјеката (пословних фирми, медија, државних институција и сл.), стављајући се у службу ширем друштвеном окружењу, а не само академској заједници. То је тренд развоја социологије ван Универзитета односно јавне социологије, која је више примијењивог карактера, иако будућност социологије (и на простору Босне и Херцеговине односно Републике Српске), као (академске) дисциплине и мисаоног система, има перспективу у интегративном изучавању поменутих димензија.</w:t>
            </w:r>
          </w:p>
        </w:tc>
      </w:tr>
      <w:tr w:rsidR="008945D3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8945D3" w:rsidRPr="00270588" w:rsidRDefault="008945D3" w:rsidP="008945D3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8945D3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5D3" w:rsidRPr="008945D3" w:rsidRDefault="008945D3" w:rsidP="008945D3">
            <w:pPr>
              <w:snapToGrid w:val="0"/>
              <w:jc w:val="both"/>
              <w:rPr>
                <w:rFonts w:cstheme="minorHAnsi"/>
                <w:sz w:val="20"/>
                <w:szCs w:val="20"/>
                <w:lang w:val="ru-RU"/>
              </w:rPr>
            </w:pPr>
            <w:r w:rsidRPr="008945D3">
              <w:rPr>
                <w:sz w:val="20"/>
                <w:szCs w:val="20"/>
                <w:lang w:val="ru-RU"/>
              </w:rPr>
              <w:t>Исходи учења наставног предмета Социологија односе се на: 1) описивање и навођење основних појмова и категорија социолошког појмовно-категоријалног апарата; 2) класификовање: појмова у појмове вишег или нижег мисаоног реда, те социолошких теорија – према различитим критеријумима (временским, просторним, садржајним и сл.); 3) разумијевање друштвено-историјског контекста настанка социологије и конкретних друштвених феномена, те тумачење интринзичких и екстринзичких фактора покретача тих феномена, као и фрагмената оригиналних и секундарних социолошких текстова; 4) генеричко, структурално, функционално и телеолошко објашњење међудјеловања два или више феномена; 5) предвиђање: будућег раста, развоја и трансформација друштвених формација; конституисања нових посебних социолошких и микро-социолошких дисциплина односно социлошких и друштвених трендова.</w:t>
            </w:r>
          </w:p>
        </w:tc>
      </w:tr>
      <w:tr w:rsidR="008945D3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8945D3" w:rsidRPr="00270588" w:rsidRDefault="008945D3" w:rsidP="008945D3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8945D3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5D3" w:rsidRPr="008945D3" w:rsidRDefault="008945D3" w:rsidP="008945D3">
            <w:pPr>
              <w:suppressAutoHyphens/>
              <w:jc w:val="both"/>
              <w:rPr>
                <w:sz w:val="20"/>
                <w:szCs w:val="20"/>
                <w:lang w:val="sr-Cyrl-CS"/>
              </w:rPr>
            </w:pPr>
            <w:r w:rsidRPr="008945D3">
              <w:rPr>
                <w:sz w:val="20"/>
                <w:szCs w:val="20"/>
                <w:lang w:val="sr-Cyrl-CS"/>
              </w:rPr>
              <w:t>Настанак и развој социологије; Појам, предмет, подјела и функције социологије; Однос социологије и других друштених наука; Теоретичари заслужни за настанак и развој социологије; Класичне и савремене социолошке теорије; Методе и технике социолошког истраживања; Људски рад као социолошка категорија; Друштвени односи, друштвени процеси, друштвене појаве и друштвене творевине; Друштвена структура и димензије друштвене структуре; Друштвене групе, Примарне и секундарне друштвене групе, Друштвене установе и организације;  Држава – социолошки аспект; Интересне друштвене групе (политичке партије); Масовне комуникације у друштву и јавно мњење; Култура и цивилизација; Облици друштвене свијести (религија, мит, обичај, морал, идеологија, умјетност); Социологија и савремено друштво</w:t>
            </w:r>
          </w:p>
        </w:tc>
      </w:tr>
      <w:tr w:rsidR="008945D3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8945D3" w:rsidRPr="00270588" w:rsidRDefault="008945D3" w:rsidP="008945D3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8945D3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5D3" w:rsidRPr="008945D3" w:rsidRDefault="008945D3" w:rsidP="008945D3">
            <w:pPr>
              <w:snapToGrid w:val="0"/>
              <w:jc w:val="both"/>
              <w:rPr>
                <w:rFonts w:cstheme="minorHAnsi"/>
                <w:sz w:val="20"/>
                <w:szCs w:val="20"/>
                <w:lang w:val="ru-RU"/>
              </w:rPr>
            </w:pPr>
            <w:r w:rsidRPr="008945D3">
              <w:rPr>
                <w:sz w:val="20"/>
                <w:szCs w:val="20"/>
                <w:lang w:val="sr-Cyrl-BA"/>
              </w:rPr>
              <w:t>Савладавање тематских јединица ће се реализовати путем: теоријских предавања, теоријских вјежби интерактивног типа, писмених колоквијума, (индивидуалних и/или групних) семинарских радова и самосталних есеја; консултација и усменог завршног испита.</w:t>
            </w:r>
          </w:p>
        </w:tc>
      </w:tr>
      <w:tr w:rsidR="008945D3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8945D3" w:rsidRPr="00270588" w:rsidRDefault="008945D3" w:rsidP="008945D3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8945D3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7D44E4" w:rsidRPr="007D44E4" w:rsidRDefault="007D44E4" w:rsidP="007D44E4">
            <w:pPr>
              <w:numPr>
                <w:ilvl w:val="0"/>
                <w:numId w:val="1"/>
              </w:numPr>
              <w:suppressAutoHyphens/>
              <w:jc w:val="both"/>
              <w:rPr>
                <w:sz w:val="20"/>
                <w:szCs w:val="20"/>
                <w:lang w:val="sr-Cyrl-BA"/>
              </w:rPr>
            </w:pPr>
            <w:r w:rsidRPr="007D44E4">
              <w:rPr>
                <w:sz w:val="20"/>
                <w:szCs w:val="20"/>
                <w:lang w:val="sr-Cyrl-BA"/>
              </w:rPr>
              <w:t xml:space="preserve">Вејновић, Д. (2012). </w:t>
            </w:r>
            <w:r w:rsidRPr="007D44E4">
              <w:rPr>
                <w:i/>
                <w:sz w:val="20"/>
                <w:szCs w:val="20"/>
                <w:lang w:val="sr-Cyrl-BA"/>
              </w:rPr>
              <w:t>Социологија</w:t>
            </w:r>
            <w:r w:rsidRPr="007D44E4">
              <w:rPr>
                <w:sz w:val="20"/>
                <w:szCs w:val="20"/>
                <w:lang w:val="sr-Cyrl-BA"/>
              </w:rPr>
              <w:t xml:space="preserve">. Бања Лука: Европски дефендологија центар. </w:t>
            </w:r>
          </w:p>
          <w:p w:rsidR="007D44E4" w:rsidRPr="007D44E4" w:rsidRDefault="007D44E4" w:rsidP="007D44E4">
            <w:pPr>
              <w:numPr>
                <w:ilvl w:val="0"/>
                <w:numId w:val="1"/>
              </w:numPr>
              <w:suppressAutoHyphens/>
              <w:jc w:val="both"/>
              <w:rPr>
                <w:sz w:val="20"/>
                <w:szCs w:val="20"/>
                <w:lang w:val="sr-Cyrl-BA"/>
              </w:rPr>
            </w:pPr>
            <w:r w:rsidRPr="007D44E4">
              <w:rPr>
                <w:sz w:val="20"/>
                <w:szCs w:val="20"/>
                <w:lang w:val="sr-Latn-BA"/>
              </w:rPr>
              <w:t xml:space="preserve">Lalman, M. (2004). </w:t>
            </w:r>
            <w:r w:rsidRPr="007D44E4">
              <w:rPr>
                <w:i/>
                <w:iCs/>
                <w:sz w:val="20"/>
                <w:szCs w:val="20"/>
                <w:lang w:val="sr-Latn-BA"/>
              </w:rPr>
              <w:t>Istorija socioloških ideja, tom I: Od početka do Vebera</w:t>
            </w:r>
            <w:r w:rsidRPr="007D44E4">
              <w:rPr>
                <w:sz w:val="20"/>
                <w:szCs w:val="20"/>
                <w:lang w:val="sr-Latn-BA"/>
              </w:rPr>
              <w:t xml:space="preserve">. Beograd: Zavod za udžbenike i nastavna sredstva. </w:t>
            </w:r>
          </w:p>
          <w:p w:rsidR="007D44E4" w:rsidRPr="007D44E4" w:rsidRDefault="007D44E4" w:rsidP="007D44E4">
            <w:pPr>
              <w:numPr>
                <w:ilvl w:val="0"/>
                <w:numId w:val="1"/>
              </w:numPr>
              <w:suppressAutoHyphens/>
              <w:jc w:val="both"/>
              <w:rPr>
                <w:sz w:val="20"/>
                <w:szCs w:val="20"/>
                <w:lang w:val="sr-Cyrl-BA"/>
              </w:rPr>
            </w:pPr>
            <w:r w:rsidRPr="007D44E4">
              <w:rPr>
                <w:sz w:val="20"/>
                <w:szCs w:val="20"/>
                <w:lang w:val="sr-Latn-BA"/>
              </w:rPr>
              <w:lastRenderedPageBreak/>
              <w:t xml:space="preserve">Lalman, M. (2004). </w:t>
            </w:r>
            <w:r w:rsidRPr="007D44E4">
              <w:rPr>
                <w:i/>
                <w:iCs/>
                <w:sz w:val="20"/>
                <w:szCs w:val="20"/>
                <w:lang w:val="sr-Latn-BA"/>
              </w:rPr>
              <w:t>Istorija socioloških ideja, tom II: Od Parsonsa do savremenih sociologa</w:t>
            </w:r>
            <w:r w:rsidRPr="007D44E4">
              <w:rPr>
                <w:sz w:val="20"/>
                <w:szCs w:val="20"/>
                <w:lang w:val="sr-Latn-BA"/>
              </w:rPr>
              <w:t xml:space="preserve">. Beograd: Zavod za udžbenike i nastavna sredstva. </w:t>
            </w:r>
          </w:p>
          <w:p w:rsidR="007D44E4" w:rsidRPr="007D44E4" w:rsidRDefault="007D44E4" w:rsidP="007D44E4">
            <w:pPr>
              <w:numPr>
                <w:ilvl w:val="0"/>
                <w:numId w:val="1"/>
              </w:numPr>
              <w:suppressAutoHyphens/>
              <w:jc w:val="both"/>
              <w:rPr>
                <w:sz w:val="20"/>
                <w:szCs w:val="20"/>
                <w:lang w:val="sr-Cyrl-BA"/>
              </w:rPr>
            </w:pPr>
            <w:r w:rsidRPr="007D44E4">
              <w:rPr>
                <w:sz w:val="20"/>
                <w:szCs w:val="20"/>
                <w:lang w:val="sr-Latn-BA"/>
              </w:rPr>
              <w:t xml:space="preserve">Ricer, Dž. (2009). </w:t>
            </w:r>
            <w:r w:rsidRPr="007D44E4">
              <w:rPr>
                <w:i/>
                <w:iCs/>
                <w:sz w:val="20"/>
                <w:szCs w:val="20"/>
                <w:lang w:val="sr-Latn-BA"/>
              </w:rPr>
              <w:t>Savremena sociološka teorija i njeni klasični koreni</w:t>
            </w:r>
            <w:r w:rsidRPr="007D44E4">
              <w:rPr>
                <w:sz w:val="20"/>
                <w:szCs w:val="20"/>
                <w:lang w:val="sr-Latn-BA"/>
              </w:rPr>
              <w:t xml:space="preserve">. Beograd: Službeni glasnik. </w:t>
            </w:r>
          </w:p>
          <w:p w:rsidR="007D44E4" w:rsidRPr="007D44E4" w:rsidRDefault="007D44E4" w:rsidP="007D44E4">
            <w:pPr>
              <w:numPr>
                <w:ilvl w:val="0"/>
                <w:numId w:val="1"/>
              </w:numPr>
              <w:suppressAutoHyphens/>
              <w:jc w:val="both"/>
              <w:rPr>
                <w:sz w:val="20"/>
                <w:szCs w:val="20"/>
                <w:lang w:val="sr-Cyrl-CS"/>
              </w:rPr>
            </w:pPr>
            <w:r w:rsidRPr="007D44E4">
              <w:rPr>
                <w:sz w:val="20"/>
                <w:szCs w:val="20"/>
                <w:lang w:val="sr-Cyrl-BA"/>
              </w:rPr>
              <w:t>Вејновић, Д. (2004)</w:t>
            </w:r>
            <w:r w:rsidRPr="007D44E4">
              <w:rPr>
                <w:sz w:val="20"/>
                <w:szCs w:val="20"/>
                <w:lang w:val="sr-Cyrl-CS"/>
              </w:rPr>
              <w:t xml:space="preserve">. </w:t>
            </w:r>
            <w:r w:rsidRPr="007D44E4">
              <w:rPr>
                <w:i/>
                <w:sz w:val="20"/>
                <w:szCs w:val="20"/>
                <w:lang w:val="sr-Cyrl-CS"/>
              </w:rPr>
              <w:t>Социологија – одабране теме</w:t>
            </w:r>
            <w:r w:rsidRPr="007D44E4">
              <w:rPr>
                <w:sz w:val="20"/>
                <w:szCs w:val="20"/>
                <w:lang w:val="sr-Latn-BA"/>
              </w:rPr>
              <w:t>.</w:t>
            </w:r>
            <w:r w:rsidRPr="007D44E4">
              <w:rPr>
                <w:sz w:val="20"/>
                <w:szCs w:val="20"/>
                <w:lang w:val="sr-Cyrl-CS"/>
              </w:rPr>
              <w:t xml:space="preserve"> Бања Лука: </w:t>
            </w:r>
            <w:r w:rsidRPr="007D44E4">
              <w:rPr>
                <w:sz w:val="20"/>
                <w:szCs w:val="20"/>
                <w:lang w:val="sr-Cyrl-BA"/>
              </w:rPr>
              <w:t>В</w:t>
            </w:r>
            <w:r w:rsidRPr="007D44E4">
              <w:rPr>
                <w:sz w:val="20"/>
                <w:szCs w:val="20"/>
                <w:lang w:val="sr-Cyrl-CS"/>
              </w:rPr>
              <w:t xml:space="preserve">исока школа унутрашњих послова. </w:t>
            </w:r>
          </w:p>
          <w:p w:rsidR="007D44E4" w:rsidRPr="007D44E4" w:rsidRDefault="007D44E4" w:rsidP="007D44E4">
            <w:pPr>
              <w:numPr>
                <w:ilvl w:val="0"/>
                <w:numId w:val="1"/>
              </w:numPr>
              <w:suppressAutoHyphens/>
              <w:jc w:val="both"/>
              <w:rPr>
                <w:sz w:val="20"/>
                <w:szCs w:val="20"/>
                <w:lang w:val="sr-Cyrl-CS"/>
              </w:rPr>
            </w:pPr>
            <w:r w:rsidRPr="007D44E4">
              <w:rPr>
                <w:sz w:val="20"/>
                <w:szCs w:val="20"/>
                <w:lang w:val="sr-Cyrl-BA"/>
              </w:rPr>
              <w:t>Вејновић, Д. (2003)</w:t>
            </w:r>
            <w:r w:rsidRPr="007D44E4">
              <w:rPr>
                <w:sz w:val="20"/>
                <w:szCs w:val="20"/>
                <w:lang w:val="sr-Cyrl-CS"/>
              </w:rPr>
              <w:t xml:space="preserve">. </w:t>
            </w:r>
            <w:r w:rsidRPr="007D44E4">
              <w:rPr>
                <w:i/>
                <w:sz w:val="20"/>
                <w:szCs w:val="20"/>
                <w:lang w:val="sr-Cyrl-CS"/>
              </w:rPr>
              <w:t>Политичка култура, дијалог, толеранција и демократија у Босни и Херцеговини</w:t>
            </w:r>
            <w:r w:rsidRPr="007D44E4">
              <w:rPr>
                <w:sz w:val="20"/>
                <w:szCs w:val="20"/>
                <w:lang w:val="sr-Cyrl-CS"/>
              </w:rPr>
              <w:t xml:space="preserve">. Бања Лука: Удружење дефендолога Републике Српске и Град Бања Лука. </w:t>
            </w:r>
          </w:p>
          <w:p w:rsidR="007D44E4" w:rsidRPr="007D44E4" w:rsidRDefault="007D44E4" w:rsidP="007D44E4">
            <w:pPr>
              <w:numPr>
                <w:ilvl w:val="0"/>
                <w:numId w:val="1"/>
              </w:numPr>
              <w:suppressAutoHyphens/>
              <w:jc w:val="both"/>
              <w:rPr>
                <w:sz w:val="20"/>
                <w:szCs w:val="20"/>
                <w:lang w:val="sr-Cyrl-CS"/>
              </w:rPr>
            </w:pPr>
            <w:r w:rsidRPr="007D44E4">
              <w:rPr>
                <w:sz w:val="20"/>
                <w:szCs w:val="20"/>
                <w:lang w:val="sr-Cyrl-CS"/>
              </w:rPr>
              <w:t>Марковић, Д. Ж. (1996).</w:t>
            </w:r>
            <w:r w:rsidRPr="007D44E4">
              <w:rPr>
                <w:i/>
                <w:sz w:val="20"/>
                <w:szCs w:val="20"/>
                <w:lang w:val="sr-Cyrl-CS"/>
              </w:rPr>
              <w:t xml:space="preserve"> Општа социологија. </w:t>
            </w:r>
            <w:r w:rsidRPr="007D44E4">
              <w:rPr>
                <w:sz w:val="20"/>
                <w:szCs w:val="20"/>
                <w:lang w:val="sr-Cyrl-CS"/>
              </w:rPr>
              <w:t xml:space="preserve">Београд: Савремена администрација. </w:t>
            </w:r>
          </w:p>
          <w:p w:rsidR="008945D3" w:rsidRPr="007D44E4" w:rsidRDefault="007D44E4" w:rsidP="007D44E4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sz w:val="20"/>
                <w:szCs w:val="20"/>
                <w:lang w:val="ru-RU"/>
              </w:rPr>
            </w:pPr>
            <w:r w:rsidRPr="007D44E4">
              <w:rPr>
                <w:sz w:val="20"/>
                <w:szCs w:val="20"/>
                <w:lang w:val="sr-Cyrl-RS"/>
              </w:rPr>
              <w:t xml:space="preserve">Вејновић, Д., </w:t>
            </w:r>
            <w:r w:rsidRPr="007D44E4">
              <w:rPr>
                <w:sz w:val="20"/>
                <w:szCs w:val="20"/>
                <w:lang w:val="sr-Latn-BA"/>
              </w:rPr>
              <w:t>(2012)</w:t>
            </w:r>
            <w:r w:rsidRPr="007D44E4">
              <w:rPr>
                <w:sz w:val="20"/>
                <w:szCs w:val="20"/>
                <w:lang w:val="sr-Cyrl-BA"/>
              </w:rPr>
              <w:t>.</w:t>
            </w:r>
            <w:r w:rsidRPr="007D44E4">
              <w:rPr>
                <w:sz w:val="20"/>
                <w:szCs w:val="20"/>
                <w:lang w:val="sr-Cyrl-CS"/>
              </w:rPr>
              <w:t xml:space="preserve"> </w:t>
            </w:r>
            <w:r w:rsidRPr="007D44E4">
              <w:rPr>
                <w:i/>
                <w:sz w:val="20"/>
                <w:szCs w:val="20"/>
                <w:lang w:val="sr-Cyrl-RS"/>
              </w:rPr>
              <w:t xml:space="preserve">Пословна култура – етика – комуникација. </w:t>
            </w:r>
            <w:r w:rsidRPr="007D44E4">
              <w:rPr>
                <w:sz w:val="20"/>
                <w:szCs w:val="20"/>
                <w:lang w:val="sr-Cyrl-CS"/>
              </w:rPr>
              <w:t>Бања Лука: Европски дефендологија центар.</w:t>
            </w:r>
          </w:p>
        </w:tc>
      </w:tr>
      <w:tr w:rsidR="008945D3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8945D3" w:rsidRPr="00270588" w:rsidRDefault="008945D3" w:rsidP="008945D3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lastRenderedPageBreak/>
              <w:t>Облици провјере знања и оцјењивање</w:t>
            </w:r>
          </w:p>
        </w:tc>
      </w:tr>
      <w:tr w:rsidR="008945D3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8945D3" w:rsidRPr="00270588" w:rsidRDefault="008945D3" w:rsidP="008945D3">
            <w:pPr>
              <w:jc w:val="both"/>
              <w:rPr>
                <w:rFonts w:cstheme="minorHAnsi"/>
              </w:rPr>
            </w:pPr>
          </w:p>
        </w:tc>
      </w:tr>
      <w:tr w:rsidR="008945D3" w:rsidRPr="00270588" w:rsidTr="00270588">
        <w:trPr>
          <w:trHeight w:val="94"/>
        </w:trPr>
        <w:tc>
          <w:tcPr>
            <w:tcW w:w="1779" w:type="dxa"/>
            <w:vAlign w:val="center"/>
          </w:tcPr>
          <w:p w:rsidR="008945D3" w:rsidRPr="007D44E4" w:rsidRDefault="007D44E4" w:rsidP="007D44E4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Присуство настави</w:t>
            </w:r>
          </w:p>
        </w:tc>
        <w:tc>
          <w:tcPr>
            <w:tcW w:w="1514" w:type="dxa"/>
            <w:gridSpan w:val="2"/>
            <w:vAlign w:val="center"/>
          </w:tcPr>
          <w:p w:rsidR="008945D3" w:rsidRPr="00270588" w:rsidRDefault="007D44E4" w:rsidP="007D44E4">
            <w:pPr>
              <w:snapToGrid w:val="0"/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5</w:t>
            </w:r>
            <w:r w:rsidR="008945D3" w:rsidRPr="00270588">
              <w:rPr>
                <w:rFonts w:cstheme="minorHAnsi"/>
                <w:lang w:val="ru-RU"/>
              </w:rPr>
              <w:t xml:space="preserve"> бод.</w:t>
            </w:r>
          </w:p>
        </w:tc>
        <w:tc>
          <w:tcPr>
            <w:tcW w:w="1542" w:type="dxa"/>
            <w:gridSpan w:val="2"/>
            <w:vAlign w:val="center"/>
          </w:tcPr>
          <w:p w:rsidR="008945D3" w:rsidRPr="00270588" w:rsidRDefault="007D44E4" w:rsidP="008945D3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Cyrl-BA"/>
              </w:rPr>
              <w:t xml:space="preserve"> 1</w:t>
            </w:r>
          </w:p>
        </w:tc>
        <w:tc>
          <w:tcPr>
            <w:tcW w:w="1491" w:type="dxa"/>
            <w:gridSpan w:val="2"/>
            <w:vAlign w:val="center"/>
          </w:tcPr>
          <w:p w:rsidR="008945D3" w:rsidRPr="00270588" w:rsidRDefault="008945D3" w:rsidP="008945D3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8945D3" w:rsidRPr="00270588" w:rsidRDefault="008945D3" w:rsidP="008945D3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8945D3" w:rsidRPr="00270588" w:rsidRDefault="008945D3" w:rsidP="008945D3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8945D3" w:rsidRPr="00270588" w:rsidTr="007D44E4">
        <w:trPr>
          <w:trHeight w:val="93"/>
        </w:trPr>
        <w:tc>
          <w:tcPr>
            <w:tcW w:w="1779" w:type="dxa"/>
            <w:tcBorders>
              <w:bottom w:val="single" w:sz="4" w:space="0" w:color="auto"/>
            </w:tcBorders>
            <w:vAlign w:val="center"/>
          </w:tcPr>
          <w:p w:rsidR="008945D3" w:rsidRPr="00270588" w:rsidRDefault="007D44E4" w:rsidP="007D44E4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tcBorders>
              <w:bottom w:val="single" w:sz="4" w:space="0" w:color="auto"/>
            </w:tcBorders>
            <w:vAlign w:val="center"/>
          </w:tcPr>
          <w:p w:rsidR="008945D3" w:rsidRPr="00270588" w:rsidRDefault="007D44E4" w:rsidP="007D44E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lang w:val="ru-RU"/>
              </w:rPr>
              <w:t>5</w:t>
            </w:r>
            <w:r w:rsidRPr="00270588">
              <w:rPr>
                <w:rFonts w:cstheme="minorHAnsi"/>
                <w:lang w:val="ru-RU"/>
              </w:rPr>
              <w:t xml:space="preserve"> бод.</w:t>
            </w: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  <w:vAlign w:val="center"/>
          </w:tcPr>
          <w:p w:rsidR="008945D3" w:rsidRPr="00270588" w:rsidRDefault="008945D3" w:rsidP="008945D3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 w:rsidR="007D44E4">
              <w:rPr>
                <w:rFonts w:cstheme="minorHAnsi"/>
                <w:lang w:val="sr-Cyrl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  <w:vAlign w:val="center"/>
          </w:tcPr>
          <w:p w:rsidR="008945D3" w:rsidRPr="00270588" w:rsidRDefault="008945D3" w:rsidP="008945D3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8945D3" w:rsidRPr="00270588" w:rsidRDefault="008945D3" w:rsidP="008945D3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8945D3" w:rsidRPr="00270588" w:rsidRDefault="008945D3" w:rsidP="008945D3">
            <w:pPr>
              <w:rPr>
                <w:rFonts w:cstheme="minorHAnsi"/>
              </w:rPr>
            </w:pPr>
          </w:p>
        </w:tc>
      </w:tr>
      <w:tr w:rsidR="008945D3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8945D3" w:rsidRPr="00270588" w:rsidRDefault="008945D3" w:rsidP="008945D3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8945D3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8945D3" w:rsidRPr="00270588" w:rsidRDefault="008945D3" w:rsidP="008945D3">
            <w:pPr>
              <w:rPr>
                <w:rFonts w:cstheme="minorHAnsi"/>
              </w:rPr>
            </w:pPr>
          </w:p>
        </w:tc>
      </w:tr>
      <w:tr w:rsidR="008945D3" w:rsidRPr="00270588" w:rsidTr="00270588">
        <w:tc>
          <w:tcPr>
            <w:tcW w:w="5724" w:type="dxa"/>
            <w:gridSpan w:val="6"/>
            <w:shd w:val="clear" w:color="auto" w:fill="269A3C"/>
          </w:tcPr>
          <w:p w:rsidR="008945D3" w:rsidRPr="00270588" w:rsidRDefault="008945D3" w:rsidP="008945D3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8945D3" w:rsidRPr="00270588" w:rsidRDefault="000D3508" w:rsidP="008945D3">
            <w:pPr>
              <w:jc w:val="center"/>
              <w:rPr>
                <w:rFonts w:cstheme="minorHAnsi"/>
                <w:lang w:val="sr-Cyrl-BA"/>
              </w:rPr>
            </w:pPr>
            <w:r w:rsidRPr="009A71C7">
              <w:rPr>
                <w:lang w:val="ru-RU"/>
              </w:rPr>
              <w:t>Др Душко Вејновић, ред. проф.</w:t>
            </w:r>
          </w:p>
        </w:tc>
      </w:tr>
    </w:tbl>
    <w:p w:rsidR="00797837" w:rsidRPr="00270588" w:rsidRDefault="00797837">
      <w:pPr>
        <w:rPr>
          <w:rFonts w:cstheme="minorHAnsi"/>
        </w:rPr>
      </w:pPr>
      <w:bookmarkStart w:id="0" w:name="_GoBack"/>
      <w:bookmarkEnd w:id="0"/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137521B6"/>
    <w:multiLevelType w:val="hybridMultilevel"/>
    <w:tmpl w:val="0EB826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D6C2672"/>
    <w:multiLevelType w:val="hybridMultilevel"/>
    <w:tmpl w:val="F230BE8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A322C"/>
    <w:rsid w:val="000D3508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D53D4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D44E4"/>
    <w:rsid w:val="007F4D80"/>
    <w:rsid w:val="008071E5"/>
    <w:rsid w:val="0084476C"/>
    <w:rsid w:val="00891CD5"/>
    <w:rsid w:val="008945D3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7C6F90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704</Words>
  <Characters>4019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4</cp:revision>
  <cp:lastPrinted>2022-04-06T11:48:00Z</cp:lastPrinted>
  <dcterms:created xsi:type="dcterms:W3CDTF">2022-04-19T12:51:00Z</dcterms:created>
  <dcterms:modified xsi:type="dcterms:W3CDTF">2022-04-19T12:52:00Z</dcterms:modified>
</cp:coreProperties>
</file>